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F" w:rsidRPr="00D75B5A" w:rsidRDefault="00047226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  <w:rPr>
          <w:rStyle w:val="a4"/>
          <w:sz w:val="28"/>
          <w:szCs w:val="28"/>
        </w:rPr>
      </w:pPr>
      <w:r w:rsidRPr="00D75B5A">
        <w:rPr>
          <w:rStyle w:val="a4"/>
          <w:sz w:val="28"/>
          <w:szCs w:val="28"/>
        </w:rPr>
        <w:t>Лекция 5</w:t>
      </w:r>
      <w:r w:rsidR="00ED7F8F" w:rsidRPr="00D75B5A">
        <w:rPr>
          <w:rStyle w:val="a4"/>
          <w:sz w:val="28"/>
          <w:szCs w:val="28"/>
        </w:rPr>
        <w:t xml:space="preserve">. </w:t>
      </w:r>
      <w:bookmarkStart w:id="0" w:name="_GoBack"/>
      <w:r w:rsidRPr="00D75B5A">
        <w:rPr>
          <w:rStyle w:val="a4"/>
          <w:sz w:val="28"/>
          <w:szCs w:val="28"/>
        </w:rPr>
        <w:t xml:space="preserve">Техническое регулирование и стандартизация в области </w:t>
      </w:r>
      <w:proofErr w:type="gramStart"/>
      <w:r w:rsidRPr="00D75B5A">
        <w:rPr>
          <w:rStyle w:val="a4"/>
          <w:sz w:val="28"/>
          <w:szCs w:val="28"/>
        </w:rPr>
        <w:t>ИТ</w:t>
      </w:r>
      <w:bookmarkEnd w:id="0"/>
      <w:proofErr w:type="gramEnd"/>
    </w:p>
    <w:p w:rsidR="003D1940" w:rsidRPr="00D75B5A" w:rsidRDefault="003D1940" w:rsidP="003D1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B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 области </w:t>
      </w:r>
      <w:proofErr w:type="gramStart"/>
      <w:r w:rsidRPr="00D75B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ИТ</w:t>
      </w:r>
      <w:proofErr w:type="gramEnd"/>
      <w:r w:rsidRPr="00D75B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наиболее значимые с точки зрения практики стандарты публикуются следующими организациями:</w:t>
      </w:r>
    </w:p>
    <w:p w:rsidR="003D1940" w:rsidRPr="00D75B5A" w:rsidRDefault="003D1940" w:rsidP="003D194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5B5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Институт инженеров по электротехнике и радиоэлектронике</w:t>
      </w:r>
      <w:r w:rsidRPr="00D75B5A">
        <w:rPr>
          <w:rFonts w:ascii="Times New Roman" w:hAnsi="Times New Roman" w:cs="Times New Roman"/>
          <w:sz w:val="24"/>
          <w:szCs w:val="24"/>
        </w:rPr>
        <w:t> (IEEE, </w:t>
      </w:r>
      <w:hyperlink r:id="rId6" w:tgtFrame="_blank" w:history="1">
        <w:r w:rsidRPr="00D75B5A">
          <w:rPr>
            <w:rStyle w:val="a5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www.ieee.org</w:t>
        </w:r>
      </w:hyperlink>
      <w:r w:rsidRPr="00D75B5A">
        <w:rPr>
          <w:rFonts w:ascii="Times New Roman" w:hAnsi="Times New Roman" w:cs="Times New Roman"/>
          <w:sz w:val="24"/>
          <w:szCs w:val="24"/>
        </w:rPr>
        <w:t xml:space="preserve">) в течение многих лет остается лидирующей научно-технической организацией, в том числе, в создании стандартов документации программного обеспечения. Большинство стандартов </w:t>
      </w:r>
      <w:proofErr w:type="gramStart"/>
      <w:r w:rsidRPr="00D75B5A">
        <w:rPr>
          <w:rFonts w:ascii="Times New Roman" w:hAnsi="Times New Roman" w:cs="Times New Roman"/>
          <w:sz w:val="24"/>
          <w:szCs w:val="24"/>
        </w:rPr>
        <w:t>разработаны</w:t>
      </w:r>
      <w:proofErr w:type="gramEnd"/>
      <w:r w:rsidRPr="00D75B5A">
        <w:rPr>
          <w:rFonts w:ascii="Times New Roman" w:hAnsi="Times New Roman" w:cs="Times New Roman"/>
          <w:sz w:val="24"/>
          <w:szCs w:val="24"/>
        </w:rPr>
        <w:t xml:space="preserve"> различными комитетами, состоящими из опытных и ответственных инженеров-профессионалов. Некоторые из стандартов IEEE стали также стандартами ANSI (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Standards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). Преимущественно стандарты IEEE легли в основу при составлении МУ по КП.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Schmidt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Implementing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IEEE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Standards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>.</w:t>
      </w:r>
    </w:p>
    <w:p w:rsidR="003D1940" w:rsidRPr="00D75B5A" w:rsidRDefault="003D1940" w:rsidP="003D194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5B5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Международная организация по стандартизации (ISO)</w:t>
      </w:r>
      <w:r w:rsidRPr="00D75B5A">
        <w:rPr>
          <w:rFonts w:ascii="Times New Roman" w:hAnsi="Times New Roman" w:cs="Times New Roman"/>
          <w:sz w:val="24"/>
          <w:szCs w:val="24"/>
        </w:rPr>
        <w:t xml:space="preserve"> имеет огромное влияние во всем мире, особенно среди организаций производителей, имеющих дело с Евросоюзом (ЕС). В настоящее время фактически все современные стандарты в области </w:t>
      </w:r>
      <w:proofErr w:type="gramStart"/>
      <w:r w:rsidRPr="00D75B5A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D75B5A">
        <w:rPr>
          <w:rFonts w:ascii="Times New Roman" w:hAnsi="Times New Roman" w:cs="Times New Roman"/>
          <w:sz w:val="24"/>
          <w:szCs w:val="24"/>
        </w:rPr>
        <w:t xml:space="preserve">, переведенные и принятые в РФ – это стандарты, подготовленные ISO совместно с международной электротехнической комиссией – МЭК (IEC). Вы знаете, что особое внимание уделяется вопросам обеспечения качества продукции на международном уровне, поэтому, </w:t>
      </w:r>
      <w:proofErr w:type="gramStart"/>
      <w:r w:rsidRPr="00D75B5A">
        <w:rPr>
          <w:rFonts w:ascii="Times New Roman" w:hAnsi="Times New Roman" w:cs="Times New Roman"/>
          <w:sz w:val="24"/>
          <w:szCs w:val="24"/>
        </w:rPr>
        <w:t>согласно постановления</w:t>
      </w:r>
      <w:proofErr w:type="gramEnd"/>
      <w:r w:rsidRPr="00D75B5A">
        <w:rPr>
          <w:rFonts w:ascii="Times New Roman" w:hAnsi="Times New Roman" w:cs="Times New Roman"/>
          <w:sz w:val="24"/>
          <w:szCs w:val="24"/>
        </w:rPr>
        <w:t xml:space="preserve"> правительства РФ №113 от 02.02.1998 соблюдение требований ISO 9000 (серия стандартов, регламентирующих управление качеством (менеджмент качества) на предприятиях) – обязательное условие для получения госзаказа.</w:t>
      </w:r>
    </w:p>
    <w:p w:rsidR="003D1940" w:rsidRPr="00D75B5A" w:rsidRDefault="003D1940" w:rsidP="003D194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5B5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Институт технологий разработки программного обеспечения</w:t>
      </w:r>
      <w:r w:rsidRPr="00D75B5A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– SEI, </w:t>
      </w:r>
      <w:hyperlink r:id="rId7" w:tgtFrame="_blank" w:history="1">
        <w:r w:rsidRPr="00D75B5A">
          <w:rPr>
            <w:rStyle w:val="a5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sei.cmu.edu</w:t>
        </w:r>
      </w:hyperlink>
      <w:r w:rsidRPr="00D75B5A">
        <w:rPr>
          <w:rFonts w:ascii="Times New Roman" w:hAnsi="Times New Roman" w:cs="Times New Roman"/>
          <w:sz w:val="24"/>
          <w:szCs w:val="24"/>
        </w:rPr>
        <w:t> – более 1000 статей) был учрежден Министерством обороны США в университете Карнеги-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Меллон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для поднятия уровня технологии программного обеспечения у подрядчиков Министерства обороны. Работа SEI также была принята многими коммерческими компаниями, которые считают улучшение процесса разработки программного обеспечения своей стратегической корпоративной задачей. </w:t>
      </w:r>
      <w:proofErr w:type="gramStart"/>
      <w:r w:rsidRPr="00D75B5A">
        <w:rPr>
          <w:rFonts w:ascii="Times New Roman" w:hAnsi="Times New Roman" w:cs="Times New Roman"/>
          <w:sz w:val="24"/>
          <w:szCs w:val="24"/>
        </w:rPr>
        <w:t>Мы обратимся к одному из стандартов, разработанному SEI, который называется Моделью зрелости возможностей (СММ).</w:t>
      </w:r>
      <w:proofErr w:type="gramEnd"/>
    </w:p>
    <w:p w:rsidR="0028072D" w:rsidRPr="00D75B5A" w:rsidRDefault="003D1940" w:rsidP="00ED7F8F">
      <w:pPr>
        <w:numPr>
          <w:ilvl w:val="0"/>
          <w:numId w:val="1"/>
        </w:numPr>
        <w:shd w:val="clear" w:color="auto" w:fill="FFFFFF"/>
        <w:spacing w:before="189" w:after="0" w:line="288" w:lineRule="atLeast"/>
        <w:ind w:left="360" w:right="-35"/>
        <w:jc w:val="both"/>
        <w:textAlignment w:val="baseline"/>
      </w:pPr>
      <w:r w:rsidRPr="00D75B5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Консорциум по технологии манипулирования объектами</w:t>
      </w:r>
      <w:r w:rsidRPr="00D75B5A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B5A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D75B5A">
        <w:rPr>
          <w:rFonts w:ascii="Times New Roman" w:hAnsi="Times New Roman" w:cs="Times New Roman"/>
          <w:sz w:val="24"/>
          <w:szCs w:val="24"/>
        </w:rPr>
        <w:t>, </w:t>
      </w:r>
      <w:hyperlink r:id="rId8" w:tgtFrame="_blank" w:history="1">
        <w:r w:rsidRPr="00D75B5A">
          <w:rPr>
            <w:rStyle w:val="a5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www.omg.org</w:t>
        </w:r>
      </w:hyperlink>
      <w:r w:rsidRPr="00D75B5A">
        <w:rPr>
          <w:rFonts w:ascii="Times New Roman" w:hAnsi="Times New Roman" w:cs="Times New Roman"/>
          <w:sz w:val="24"/>
          <w:szCs w:val="24"/>
        </w:rPr>
        <w:t xml:space="preserve">) является некоммерческой организацией, в которую в качестве членов входят около 700 компаний. OMG устанавливает стандарты для распределенных объектно-ориентированных вычислений. Нужно заметить, что OMG использует унифицированный язык моделирования UML в качестве своего стандарта для описания проектов. </w:t>
      </w:r>
    </w:p>
    <w:p w:rsidR="0028072D" w:rsidRPr="00D75B5A" w:rsidRDefault="0028072D" w:rsidP="0028072D">
      <w:pPr>
        <w:shd w:val="clear" w:color="auto" w:fill="FFFFFF"/>
        <w:spacing w:before="189" w:after="0" w:line="288" w:lineRule="atLeast"/>
        <w:ind w:left="360" w:right="-35"/>
        <w:jc w:val="both"/>
        <w:textAlignment w:val="baseline"/>
      </w:pPr>
    </w:p>
    <w:p w:rsidR="00ED7F8F" w:rsidRDefault="00ED7F8F" w:rsidP="0028072D">
      <w:pPr>
        <w:shd w:val="clear" w:color="auto" w:fill="FFFFFF"/>
        <w:spacing w:before="189" w:after="0" w:line="288" w:lineRule="atLeast"/>
        <w:ind w:right="-3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B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июля 2003 года вступил в силу Федеральный закон Российской федерации (№184-ФЗ от 27 декабря 2002г) «О техническом регулировании». Согласно статье 47 этого закона признается утратившими силу законы РФ «О стандартизации» и «О сертификации продукции и услуг» введенные в действие с 1993 года. В мае 2007 года утвержден закон №65-ФЗ «О внесении изменений в Федеральный закон», «О техническом регулировании». Все положения по техническому регулированию, стандартизации и сертификации будут излагаться в соответствии с внесенными изменениями.</w:t>
      </w:r>
    </w:p>
    <w:p w:rsidR="00D75B5A" w:rsidRPr="00D75B5A" w:rsidRDefault="00D75B5A" w:rsidP="0028072D">
      <w:pPr>
        <w:shd w:val="clear" w:color="auto" w:fill="FFFFFF"/>
        <w:spacing w:before="189" w:after="0" w:line="288" w:lineRule="atLeast"/>
        <w:ind w:right="-3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940" w:rsidRPr="00D75B5A" w:rsidRDefault="00ED7F8F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rPr>
          <w:rStyle w:val="a4"/>
        </w:rPr>
        <w:t>Техническое регулирование</w:t>
      </w:r>
      <w:r w:rsidR="00047226" w:rsidRPr="00D75B5A">
        <w:rPr>
          <w:rStyle w:val="a4"/>
        </w:rPr>
        <w:t xml:space="preserve"> </w:t>
      </w:r>
      <w:r w:rsidRPr="00D75B5A">
        <w:t>– правовое регулирование отношений в области установления, применения и исполнения обязательных требований к продукции и связанным</w:t>
      </w:r>
      <w:r w:rsidR="00D75B5A">
        <w:t>и</w:t>
      </w:r>
      <w:r w:rsidRPr="00D75B5A">
        <w:t xml:space="preserve"> с ними процессами жизненного цикла; </w:t>
      </w:r>
    </w:p>
    <w:p w:rsidR="003D1940" w:rsidRPr="00D75B5A" w:rsidRDefault="00D75B5A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>
        <w:lastRenderedPageBreak/>
        <w:t xml:space="preserve">- </w:t>
      </w:r>
      <w:r w:rsidR="00ED7F8F" w:rsidRPr="00D75B5A">
        <w:t xml:space="preserve">установление и применение на добровольной основе требований к продукции, процессам проектирования, производства наладки монтажа, эксплуатации хранения, реализации, утилизации; </w:t>
      </w:r>
    </w:p>
    <w:p w:rsidR="00047226" w:rsidRDefault="00D75B5A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>
        <w:t xml:space="preserve">- </w:t>
      </w:r>
      <w:r w:rsidR="00ED7F8F" w:rsidRPr="00D75B5A">
        <w:t xml:space="preserve">проведение работ в области оценки соответствия. </w:t>
      </w:r>
    </w:p>
    <w:p w:rsidR="00D75B5A" w:rsidRPr="00D75B5A" w:rsidRDefault="00D75B5A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</w:p>
    <w:p w:rsidR="00ED7F8F" w:rsidRDefault="00ED7F8F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ЖЦП – жизненный цикл продукции является фундаментальным понятием в учении о системе менеджмента качества и представляет собой совокупность взаимосвязанных этапов изменения состояние продукции: маркетинг, проектирование и изготовление, закупки, проверка, реализация, эксплуатация, техническое обслуживание, утилизация после использования.</w:t>
      </w:r>
    </w:p>
    <w:p w:rsidR="00D75B5A" w:rsidRPr="00D75B5A" w:rsidRDefault="00D75B5A" w:rsidP="00047226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</w:p>
    <w:p w:rsidR="00ED7F8F" w:rsidRPr="00D75B5A" w:rsidRDefault="00ED7F8F" w:rsidP="00ED7F8F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rPr>
          <w:rStyle w:val="a4"/>
        </w:rPr>
        <w:t>Исходя из этого определения</w:t>
      </w:r>
      <w:r w:rsidR="00D75B5A">
        <w:rPr>
          <w:rStyle w:val="a4"/>
        </w:rPr>
        <w:t xml:space="preserve">, </w:t>
      </w:r>
      <w:r w:rsidRPr="00D75B5A">
        <w:rPr>
          <w:rStyle w:val="a4"/>
        </w:rPr>
        <w:t xml:space="preserve"> техническое регулирование</w:t>
      </w:r>
      <w:r w:rsidRPr="00D75B5A">
        <w:t> сводится к трем видам деятельности: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rPr>
          <w:rStyle w:val="a4"/>
        </w:rPr>
        <w:t>- первый вид деятельности</w:t>
      </w:r>
      <w:r w:rsidRPr="00D75B5A">
        <w:t> реализуется через принятие и применение технических регламентов, имеющих силу закона, подзаконных актах и обязательных для применения;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rPr>
          <w:i/>
          <w:iCs/>
        </w:rPr>
        <w:t>- </w:t>
      </w:r>
      <w:r w:rsidRPr="00D75B5A">
        <w:rPr>
          <w:rStyle w:val="a4"/>
        </w:rPr>
        <w:t xml:space="preserve">второй </w:t>
      </w:r>
      <w:r w:rsidRPr="00D75B5A">
        <w:t>реализуется деятельностью по стандартизации через разработку и утверждение стандартов, которые должны применяться на добровольной основе;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rPr>
          <w:rStyle w:val="a4"/>
        </w:rPr>
        <w:t xml:space="preserve">- третий вид деятельности основывается на </w:t>
      </w:r>
      <w:r w:rsidRPr="00D75B5A">
        <w:t>оценке соответствия (сертификация, декларирование соответствия).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Таким образом, введение закона о техническом регулировании не отменяет стандартизацию (тем более существующие ГОСТы) и сертификацию, как виды деятельности, но вносит определенные изменения, дополнения в существующие системы стандартизации и сертификации.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right="-34"/>
        <w:jc w:val="both"/>
        <w:rPr>
          <w:b/>
        </w:rPr>
      </w:pPr>
      <w:r w:rsidRPr="00D75B5A">
        <w:rPr>
          <w:b/>
        </w:rPr>
        <w:t>Принятие Федерального закона о техническом регулировании обусловлено тремя объективными обстоятельствами: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t xml:space="preserve">- необходимостью сближения и </w:t>
      </w:r>
      <w:proofErr w:type="spellStart"/>
      <w:r w:rsidRPr="00D75B5A">
        <w:t>взаимоувязки</w:t>
      </w:r>
      <w:proofErr w:type="spellEnd"/>
      <w:r w:rsidRPr="00D75B5A">
        <w:t>, гармонизации требований к продукции и деятельности по техническому законодательству в России с таковыми в промышленно развитых странах для устранения технических, экономических и организационных барьеров при вступлении в единое экономическое пространство;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t>- задачей снятие избыточных ограничений, содержащихся в государственных стандартах, санитарных, строительных нормах и правилах и во множестве отраслевых документов, которые сдерживают предпринимательскую инициативу и бизнес граждан;</w:t>
      </w:r>
    </w:p>
    <w:p w:rsidR="00ED7F8F" w:rsidRPr="00D75B5A" w:rsidRDefault="00ED7F8F" w:rsidP="003D1940">
      <w:pPr>
        <w:pStyle w:val="a3"/>
        <w:shd w:val="clear" w:color="auto" w:fill="FFFFFF"/>
        <w:spacing w:before="0" w:beforeAutospacing="0" w:after="0" w:afterAutospacing="0"/>
        <w:ind w:left="284" w:right="-34"/>
        <w:jc w:val="both"/>
      </w:pPr>
      <w:r w:rsidRPr="00D75B5A">
        <w:t xml:space="preserve">- необходимостью упорядочения названий, обязательных требований по составу и качеству продукции, особенно в пищевой промышленности. Это обусловлено тем обстоятельством, что имеющийся в настоящее время набор обязательных требований в многочисленных нормативных документах, технических условиях (ТУ) на продукцию не обеспечивает </w:t>
      </w:r>
      <w:proofErr w:type="gramStart"/>
      <w:r w:rsidRPr="00D75B5A">
        <w:t>надлежащие</w:t>
      </w:r>
      <w:proofErr w:type="gramEnd"/>
      <w:r w:rsidRPr="00D75B5A">
        <w:t xml:space="preserve"> качество и создает, в ряде случаев, опасность для здоров</w:t>
      </w:r>
    </w:p>
    <w:p w:rsidR="00ED7F8F" w:rsidRPr="00D75B5A" w:rsidRDefault="00ED7F8F" w:rsidP="00ED7F8F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Объектами технического регулирования являются:</w:t>
      </w:r>
    </w:p>
    <w:p w:rsidR="00ED7F8F" w:rsidRPr="00D75B5A" w:rsidRDefault="00ED7F8F" w:rsidP="003D1940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left="284" w:right="-34"/>
        <w:jc w:val="both"/>
      </w:pPr>
      <w:r w:rsidRPr="00D75B5A">
        <w:t>– продукция (готовые изделия, сырье, природное топливо, материалы);</w:t>
      </w:r>
    </w:p>
    <w:p w:rsidR="00ED7F8F" w:rsidRPr="00D75B5A" w:rsidRDefault="00ED7F8F" w:rsidP="003D1940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left="284" w:right="-34"/>
        <w:jc w:val="both"/>
      </w:pPr>
      <w:r w:rsidRPr="00D75B5A">
        <w:t>– услуги (материальные и нематериальные);</w:t>
      </w:r>
    </w:p>
    <w:p w:rsidR="00ED7F8F" w:rsidRPr="00D75B5A" w:rsidRDefault="00ED7F8F" w:rsidP="003D1940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left="284" w:right="-34"/>
        <w:jc w:val="both"/>
      </w:pPr>
      <w:r w:rsidRPr="00D75B5A">
        <w:t>– процессы на отдельных этапах жизненного цикла продукции, которые могут создать риск возникновения опасностей. Под риском понимается вероятность причинения вреда жизни или здоровью граждан, имуществу, окружающей среде с учетом тяжести этого вреда.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  <w:rPr>
          <w:b/>
        </w:rPr>
      </w:pPr>
      <w:r w:rsidRPr="00D75B5A">
        <w:rPr>
          <w:b/>
        </w:rPr>
        <w:t>Федеральный закон регулирует отношения в следующих сферах деятельности:</w:t>
      </w:r>
    </w:p>
    <w:p w:rsidR="00ED7F8F" w:rsidRPr="00D75B5A" w:rsidRDefault="00ED7F8F" w:rsidP="00D75B5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4"/>
        <w:jc w:val="both"/>
      </w:pPr>
      <w:proofErr w:type="gramStart"/>
      <w:r w:rsidRPr="00D75B5A">
        <w:t>- при разработке, принятии и исполнении обязательных требований к продукции или связанными с ними процессам проектирования (включая изыскания) производства, строительства, монтажа, наладки, а также эксплуатации, хранения, перевозки, реализации и утилизации;</w:t>
      </w:r>
      <w:proofErr w:type="gramEnd"/>
    </w:p>
    <w:p w:rsidR="00ED7F8F" w:rsidRPr="00D75B5A" w:rsidRDefault="00ED7F8F" w:rsidP="00D75B5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4"/>
        <w:jc w:val="both"/>
      </w:pPr>
      <w:proofErr w:type="gramStart"/>
      <w:r w:rsidRPr="00D75B5A">
        <w:lastRenderedPageBreak/>
        <w:t>- при разработке, принятии, применении и исполнении на добровольной основе требований к продукции или связанными с ними процессам проектирования (включая изыскания) производства, строительства, монтажа, наладки, а также эксплуатации, хранения, перевозки, реализации и утилизации, выполнению работ или услуг;</w:t>
      </w:r>
      <w:proofErr w:type="gramEnd"/>
    </w:p>
    <w:p w:rsidR="00ED7F8F" w:rsidRPr="00D75B5A" w:rsidRDefault="00ED7F8F" w:rsidP="00D75B5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4"/>
        <w:jc w:val="both"/>
      </w:pPr>
      <w:r w:rsidRPr="00D75B5A">
        <w:t>- при оценке соответствия.</w:t>
      </w:r>
    </w:p>
    <w:p w:rsidR="00ED7F8F" w:rsidRPr="00D75B5A" w:rsidRDefault="00ED7F8F" w:rsidP="00ED7F8F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Таким образом, техническое регулирование можно свести к трем главным видам деятельности:</w:t>
      </w:r>
    </w:p>
    <w:p w:rsidR="00ED7F8F" w:rsidRPr="00D75B5A" w:rsidRDefault="00ED7F8F" w:rsidP="00D75B5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34"/>
        <w:jc w:val="both"/>
      </w:pPr>
      <w:r w:rsidRPr="00D75B5A">
        <w:t>- установление, применение и исполнение обязательных требований к продукции и процессам жизненного цикла (деятельность по техническому регулированию);</w:t>
      </w:r>
    </w:p>
    <w:p w:rsidR="00ED7F8F" w:rsidRPr="00D75B5A" w:rsidRDefault="00ED7F8F" w:rsidP="00D75B5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34"/>
        <w:jc w:val="both"/>
      </w:pPr>
      <w:r w:rsidRPr="00D75B5A">
        <w:t>- установление и применение на добровольной основе требований к продукции, процессам ЖЦП, выполнению работ по оказанию услуг (деятельность по стандартизации);</w:t>
      </w:r>
    </w:p>
    <w:p w:rsidR="00ED7F8F" w:rsidRPr="00D75B5A" w:rsidRDefault="00ED7F8F" w:rsidP="00D75B5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-34"/>
        <w:jc w:val="both"/>
      </w:pPr>
      <w:r w:rsidRPr="00D75B5A">
        <w:t>- правовое регулирование в области оценки соответствия (деятельность по сертификации).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i/>
        </w:rPr>
        <w:t>Четвертая сфера применения технического регулирования</w:t>
      </w:r>
      <w:r w:rsidRPr="00D75B5A">
        <w:t xml:space="preserve"> – формирование требований, обеспечивающих единое и безопасное функционирование единой системы сре</w:t>
      </w:r>
      <w:proofErr w:type="gramStart"/>
      <w:r w:rsidRPr="00D75B5A">
        <w:t>дств св</w:t>
      </w:r>
      <w:proofErr w:type="gramEnd"/>
      <w:r w:rsidRPr="00D75B5A">
        <w:t>язи.</w:t>
      </w:r>
    </w:p>
    <w:p w:rsidR="00ED7F8F" w:rsidRPr="00D75B5A" w:rsidRDefault="00ED7F8F" w:rsidP="00ED7F8F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Действие закона «О техническом регулировании» с учетом внесенных изменений не распространяется:</w:t>
      </w:r>
    </w:p>
    <w:p w:rsidR="00ED7F8F" w:rsidRPr="00D75B5A" w:rsidRDefault="00ED7F8F" w:rsidP="00D75B5A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34"/>
        <w:jc w:val="both"/>
      </w:pPr>
      <w:r w:rsidRPr="00D75B5A">
        <w:t>- на государственные образовательные стандарты, положения аудиторской деятельности и стандарты эмиссии ценных бумаг;</w:t>
      </w:r>
    </w:p>
    <w:p w:rsidR="00ED7F8F" w:rsidRPr="00D75B5A" w:rsidRDefault="00ED7F8F" w:rsidP="00D75B5A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34"/>
        <w:jc w:val="both"/>
      </w:pPr>
      <w:r w:rsidRPr="00D75B5A">
        <w:t>- на социально-экономические, организационные, санитарно-гигиенические, лечебно-профилактические меры в области охраны труда.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Федеральный закон не регулирует отношения связанные с применением мер по предотвращению возникновения и распространения инфекционных заболеваний человека и по охране почвы, атмосферного воздуха водных объектов, отнесенным к местам массового отдыха и туризма.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Под термином «принятие требований» понимается их утверждение в установленном законом или положением порядке. «Принятие требований» означает их обязательный или добровольный выбор во всех случаях, для которых они приняты. Под «исполнением требований» следует понимать их обязательное соблюдение в соответствующих объектах технического регулирования.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 Итогом технического регулирования является утверждение технического регламента. </w:t>
      </w:r>
      <w:r w:rsidRPr="00D75B5A">
        <w:rPr>
          <w:rStyle w:val="a4"/>
        </w:rPr>
        <w:t>Технический регламент</w:t>
      </w:r>
      <w:r w:rsidRPr="00D75B5A">
        <w:rPr>
          <w:i/>
          <w:iCs/>
        </w:rPr>
        <w:t> – </w:t>
      </w:r>
      <w:r w:rsidRPr="00D75B5A">
        <w:t>документ, который принят и ратифицирован в порядке, установленном законодательством Российской Федерации или федеральным законом, указом президента, правительства РФ, и устанавливает обязательные для применения и исполнения требования к объектам технического регулирования (продукции, зданиям и сооружениям, процессам производства, хранения, перевозки и утилизации). Из этого определения следует, что технический регламент содержит обязательные требования к объектам технического регулирования.</w:t>
      </w:r>
    </w:p>
    <w:p w:rsidR="00ED7F8F" w:rsidRPr="00D75B5A" w:rsidRDefault="00ED7F8F" w:rsidP="00ED7F8F">
      <w:pPr>
        <w:pStyle w:val="a3"/>
        <w:shd w:val="clear" w:color="auto" w:fill="FFFFFF"/>
        <w:spacing w:before="0" w:beforeAutospacing="0" w:after="0" w:afterAutospacing="0"/>
        <w:ind w:right="-34"/>
        <w:jc w:val="both"/>
      </w:pPr>
      <w:r w:rsidRPr="00D75B5A">
        <w:t>Технические регламенты принимаются в целях:</w:t>
      </w:r>
    </w:p>
    <w:p w:rsidR="00ED7F8F" w:rsidRPr="00D75B5A" w:rsidRDefault="00ED7F8F" w:rsidP="00D75B5A">
      <w:pPr>
        <w:pStyle w:val="a3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-34"/>
        <w:jc w:val="both"/>
      </w:pPr>
      <w:r w:rsidRPr="00D75B5A">
        <w:t>- защиты жизни или здоровья граждан при использовании продукции и выполнении различных процессов, связанных с продукцией;</w:t>
      </w:r>
    </w:p>
    <w:p w:rsidR="00ED7F8F" w:rsidRPr="00D75B5A" w:rsidRDefault="00ED7F8F" w:rsidP="00D75B5A">
      <w:pPr>
        <w:pStyle w:val="a3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-34"/>
        <w:jc w:val="both"/>
      </w:pPr>
      <w:r w:rsidRPr="00D75B5A">
        <w:lastRenderedPageBreak/>
        <w:t>- защиты имущества физических или юридических лиц от риска возникновения различных опасностей при строительстве, эксплуатации, демонтаже;</w:t>
      </w:r>
    </w:p>
    <w:p w:rsidR="00ED7F8F" w:rsidRPr="00D75B5A" w:rsidRDefault="00ED7F8F" w:rsidP="00D75B5A">
      <w:pPr>
        <w:pStyle w:val="a3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right="-34"/>
        <w:jc w:val="both"/>
      </w:pPr>
      <w:r w:rsidRPr="00D75B5A">
        <w:t>- охраны окружающей среды жизни или здоровья животных и растений путем установления минимально необходимых ветеринарно-санитарных и фитосанитарных мер.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  <w:rPr>
          <w:b/>
          <w:i/>
        </w:rPr>
      </w:pPr>
      <w:r w:rsidRPr="00D75B5A">
        <w:rPr>
          <w:b/>
          <w:i/>
        </w:rPr>
        <w:t>Принятие технических регламентов в иных целях не допускается.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Реформа технического регулирования должна заменить тысячи действующих ГОСТов, санитарных и строительных правил на сотни технических регламентов. Утверждать технические регламенты предполагается законом для того, чтобы внести ясность для приобретателей о качестве изделий, обеспечив тем самым достижение целей технических регламентов, а так же упростить условия продвижения изделий на рынок.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Так, первый технический регламент «О требованиях к выбросам автомобильной техникой, выпускаемой в обращение на территории РФ вредных веществ» был утвержден в конце 2005 года и имеет силу Федерального закона. Действие этого технического регламента запретило производство в РФ двигателей внутреннего сгорания, не отвечающих требованиям стандартов ниже ЕВРО-2 по экологическим нормам, а также наложило запрет на ввоз устаревших образцов автомобильной техники из-за рубежа.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>При разработке технических регламентов, сводов правил, стандартов необходимо придерживаться определенных принципов.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  <w:rPr>
          <w:b/>
          <w:i/>
        </w:rPr>
      </w:pPr>
      <w:r w:rsidRPr="00D75B5A">
        <w:rPr>
          <w:b/>
          <w:i/>
        </w:rPr>
        <w:t>Основные принципы при разработке технических регламентов следующие: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1) соответствие технических регламентов требованиям международных стандартов, уровню развития национальной экономики и материально-технической базы производства;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2) независимости органов по аккредитации и сертификации от изготовителей, продавцов и приобретателей;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3) применение единой системы и правил аккредитации;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4) недопустимости ограничения конкуренции при осуществлении сертификации и аккредитации;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5) обеспечение единства правил и методов испытаний, измерений при проведении процедур обязательной и добровольной оценки соответствия;</w:t>
      </w:r>
    </w:p>
    <w:p w:rsidR="00ED7F8F" w:rsidRPr="00D75B5A" w:rsidRDefault="00ED7F8F" w:rsidP="00D75B5A">
      <w:pPr>
        <w:pStyle w:val="a3"/>
        <w:shd w:val="clear" w:color="auto" w:fill="FFFFFF"/>
        <w:spacing w:before="0" w:beforeAutospacing="0" w:after="0" w:afterAutospacing="0"/>
        <w:ind w:left="567" w:right="-34"/>
        <w:jc w:val="both"/>
      </w:pPr>
      <w:r w:rsidRPr="00D75B5A">
        <w:t>6) недопустимости внебюджетного финансирования государственного контроля (надзора) за соблюдением требований технических регламентов.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b/>
          <w:i/>
        </w:rPr>
        <w:t>Первый принцип</w:t>
      </w:r>
      <w:r w:rsidRPr="00D75B5A">
        <w:t xml:space="preserve"> реализуется путем публикации уведомления о разработке технического регламента, в ежемесячном журнале «Вестник технического регулирования». Разработчик регламента обязан указать требования в техническом регламенте, которые отличающиеся от соответствующих требований международных стандартов или стандартов, действующих в Российской Федерации. Этот принцип указывает на необходимость соответствия продукции и материально-технического уровня испытательных лабораторий мировым показателям.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b/>
          <w:i/>
        </w:rPr>
        <w:t>Второй принцип</w:t>
      </w:r>
      <w:r w:rsidRPr="00D75B5A">
        <w:t xml:space="preserve"> разработки технических регламентов означает следующее: при подтверждении соответствия в форме обязательной сертификации ее участниками являются три стороны – 1-я изготовитель (продавец) продукции, 2-я орган по сертификации и (или) испытательная лаборатория, имеющая лицензию и аккредитацию, 3-я сторона – приобретатель </w:t>
      </w:r>
      <w:r w:rsidRPr="00D75B5A">
        <w:lastRenderedPageBreak/>
        <w:t>(пользователь, покупатель) продукции. Под независимостью органов по аккредитации и сертификации (2-й стороны) от приобретателей (3-й стороны) и изготовителей (1-й стороны) следует понимать отсутствие любой формы зависимости – административной, финансовой, экономической. Независимость органа по сертификации предполагает объективную оценку показателей, по которым проводится сертификация.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b/>
          <w:i/>
        </w:rPr>
        <w:t>Применение принципа 3</w:t>
      </w:r>
      <w:r w:rsidRPr="00D75B5A">
        <w:t xml:space="preserve"> направлено на то, что проведение работ по аккредитации (доказательство компетентности выполнять работы в определенной области) должны вестись по единым правилам.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b/>
          <w:i/>
        </w:rPr>
        <w:t>Четвертый принцип</w:t>
      </w:r>
      <w:r w:rsidRPr="00D75B5A">
        <w:t xml:space="preserve"> означает следующее: поскольку в России ежемесячно получают свидетельство об аккредитации большое количество организаций и лабораторий, то может возникнуть конкуренция на проведение работ по сертификации. В этом случае заявителю услуг на подтверждение соответствия предоставляется возможность выбора организации на основе тендера.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rPr>
          <w:b/>
          <w:i/>
        </w:rPr>
        <w:t>Принцип 5</w:t>
      </w:r>
      <w:r w:rsidRPr="00D75B5A">
        <w:t xml:space="preserve"> необходимо учитывать при проведении обязательной и добровольной оценки соответствия, при которых правила и методы испытаний проводятся в соответствии с имеющимися методиками, установленными определенными нормативными документами (ГОСТами, Правилами и т.д.).</w:t>
      </w:r>
    </w:p>
    <w:p w:rsidR="00ED7F8F" w:rsidRPr="00D75B5A" w:rsidRDefault="00ED7F8F" w:rsidP="00ED7F8F">
      <w:pPr>
        <w:pStyle w:val="a3"/>
        <w:shd w:val="clear" w:color="auto" w:fill="FFFFFF"/>
        <w:spacing w:before="189" w:beforeAutospacing="0" w:line="288" w:lineRule="atLeast"/>
        <w:ind w:right="-35"/>
        <w:jc w:val="both"/>
      </w:pPr>
      <w:r w:rsidRPr="00D75B5A">
        <w:t xml:space="preserve">Последний </w:t>
      </w:r>
      <w:r w:rsidRPr="00D75B5A">
        <w:rPr>
          <w:b/>
          <w:i/>
        </w:rPr>
        <w:t>шестой принцип</w:t>
      </w:r>
      <w:r w:rsidRPr="00D75B5A">
        <w:t xml:space="preserve"> указывает на то, что контроль (надзор) за соблюдением требований технических регламентов возложен на государственные и уполномоченные на то организации, финансируемые из бюджета.</w:t>
      </w:r>
    </w:p>
    <w:p w:rsidR="00AB45C9" w:rsidRPr="00D75B5A" w:rsidRDefault="00AB45C9" w:rsidP="00ED7F8F">
      <w:pPr>
        <w:ind w:right="-35"/>
        <w:jc w:val="both"/>
        <w:rPr>
          <w:rFonts w:ascii="Times New Roman" w:hAnsi="Times New Roman" w:cs="Times New Roman"/>
          <w:sz w:val="24"/>
          <w:szCs w:val="24"/>
        </w:rPr>
      </w:pPr>
    </w:p>
    <w:sectPr w:rsidR="00AB45C9" w:rsidRPr="00D75B5A" w:rsidSect="00ED7F8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62D"/>
    <w:multiLevelType w:val="hybridMultilevel"/>
    <w:tmpl w:val="24C894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C482980"/>
    <w:multiLevelType w:val="hybridMultilevel"/>
    <w:tmpl w:val="A9E662D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9BD556D"/>
    <w:multiLevelType w:val="hybridMultilevel"/>
    <w:tmpl w:val="10B09A3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F846CB5"/>
    <w:multiLevelType w:val="multilevel"/>
    <w:tmpl w:val="582CF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FB6B1F"/>
    <w:multiLevelType w:val="hybridMultilevel"/>
    <w:tmpl w:val="8CAC0C1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F8F"/>
    <w:rsid w:val="00047226"/>
    <w:rsid w:val="0028072D"/>
    <w:rsid w:val="00370006"/>
    <w:rsid w:val="003D1940"/>
    <w:rsid w:val="003E4D5F"/>
    <w:rsid w:val="00416663"/>
    <w:rsid w:val="00AB45C9"/>
    <w:rsid w:val="00BB48A3"/>
    <w:rsid w:val="00C72293"/>
    <w:rsid w:val="00D75B5A"/>
    <w:rsid w:val="00ED7F8F"/>
    <w:rsid w:val="00F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F8F"/>
    <w:rPr>
      <w:b/>
      <w:bCs/>
    </w:rPr>
  </w:style>
  <w:style w:type="character" w:styleId="a5">
    <w:name w:val="Hyperlink"/>
    <w:basedOn w:val="a0"/>
    <w:uiPriority w:val="99"/>
    <w:semiHidden/>
    <w:unhideWhenUsed/>
    <w:rsid w:val="003D19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g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i.cmu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eee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Тина</dc:creator>
  <cp:lastModifiedBy>В Н. Цвыгун</cp:lastModifiedBy>
  <cp:revision>6</cp:revision>
  <dcterms:created xsi:type="dcterms:W3CDTF">2021-01-10T18:03:00Z</dcterms:created>
  <dcterms:modified xsi:type="dcterms:W3CDTF">2022-01-21T08:16:00Z</dcterms:modified>
</cp:coreProperties>
</file>